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60" w:rsidRDefault="007A6460" w:rsidP="007A6460">
      <w:pPr>
        <w:pStyle w:val="a4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bookmarkStart w:id="0" w:name="_GoBack"/>
      <w:bookmarkEnd w:id="0"/>
      <w:r>
        <w:rPr>
          <w:rStyle w:val="a3"/>
          <w:rFonts w:ascii="Helvetica" w:hAnsi="Helvetica" w:cs="Helvetica"/>
          <w:color w:val="666666"/>
          <w:sz w:val="21"/>
          <w:szCs w:val="21"/>
        </w:rPr>
        <w:t>Для переходного периода, который продлится 5 лет, до 1 января 2024 г., в Федеральном законе № 217-ФЗ о ведении садоводства и огородничества введены следующие положения:</w:t>
      </w:r>
    </w:p>
    <w:p w:rsidR="007A6460" w:rsidRDefault="007A6460" w:rsidP="007A6460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дачные некоммерческие партнерства (ДНП), дачные кооперативы, дачные хозяйства, огороднические партнерства и другие некоммерческие организации граждан, созданные до 01.01.2019 года, реорганизовывать не требуется;</w:t>
      </w:r>
    </w:p>
    <w:p w:rsidR="007A6460" w:rsidRDefault="007A6460" w:rsidP="007A6460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с 01.01.2019 года ко всем созданным ранее садоводческим, огородническим или дачным некоммерческим партнерствам будут применяться требования нового Федерального закона № 217-ФЗ даже до приведения их уставов в соответствие с новым законом;</w:t>
      </w:r>
    </w:p>
    <w:p w:rsidR="007A6460" w:rsidRDefault="007A6460" w:rsidP="007A6460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приведение учредительных документов садоводческих, огороднических или дачных некоммерческих партнерств, созданных до введения нового Федерального закона № 217-ФЗ, производится после вступления нового закона путем внесения изменений в учредительные документы (правоустанавливающие, устав и иные документы) и регистрации этих изменений в </w:t>
      </w:r>
      <w:hyperlink r:id="rId6" w:tgtFrame="_blank" w:tooltip="Единый государственный реестр недвижимости (ЕГРН)" w:history="1">
        <w:r>
          <w:rPr>
            <w:rStyle w:val="a5"/>
            <w:rFonts w:ascii="Helvetica" w:hAnsi="Helvetica" w:cs="Helvetica"/>
            <w:color w:val="0088CC"/>
            <w:sz w:val="21"/>
            <w:szCs w:val="21"/>
          </w:rPr>
          <w:t>ЕГРН</w:t>
        </w:r>
      </w:hyperlink>
      <w:r>
        <w:rPr>
          <w:rFonts w:ascii="Helvetica" w:hAnsi="Helvetica" w:cs="Helvetica"/>
          <w:color w:val="666666"/>
          <w:sz w:val="21"/>
          <w:szCs w:val="21"/>
        </w:rPr>
        <w:t>;</w:t>
      </w:r>
    </w:p>
    <w:p w:rsidR="007A6460" w:rsidRDefault="007A6460" w:rsidP="007A6460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при этом изменения наименований некоммерческих объединений не требуется, но может проводиться по желанию заинтересованных сторон, а также не требует внесения изменений в правоустанавливающие и иные документы, содержащие их прежние наименования;</w:t>
      </w:r>
    </w:p>
    <w:p w:rsidR="007A6460" w:rsidRDefault="007A6460" w:rsidP="007A6460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здания на садовых участках, зарегистрированные в ЕГРН до 1.01.2019 года с назначением «жилое», «жилое строение», признаются жилыми домами;</w:t>
      </w:r>
    </w:p>
    <w:p w:rsidR="007A6460" w:rsidRDefault="007A6460" w:rsidP="007A6460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замены ранее выданных документов на зарегистрированные в ЕГРН до 1.01.2019 года здания или внесение изменений в документы на них, изменений в записи ЕГРН, а также замены наименований объектов недвижимости не требуется;</w:t>
      </w:r>
    </w:p>
    <w:p w:rsidR="007A6460" w:rsidRDefault="007A6460" w:rsidP="007A6460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замена документов и наименований зданий может быть выполнена по желанию правообладателей объектов недвижимости;</w:t>
      </w:r>
    </w:p>
    <w:p w:rsidR="007A6460" w:rsidRDefault="007A6460" w:rsidP="007A6460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расположенные на садовых участках нежилые здания, строения для сезонного использования, предназначенные для отдыха и временного пребывания людей и не являющиеся хозяйственными постройками и гаражами, зарегистрированные в ЕГРН до 1.01.2019 года, признаются садовыми домами;</w:t>
      </w:r>
    </w:p>
    <w:p w:rsidR="007A6460" w:rsidRDefault="007A6460" w:rsidP="007A6460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при этом замены ранее выданных документов на зарегистрированные в ЕГРН до 1.01.2019 года указанные строения или внесение изменений в документы на них, изменений в записи ЕГРН, а также замены наименований объектов не требуется. Замена документов и наименований перечисленных строений может быть выполнена по желанию их правообладателей.</w:t>
      </w:r>
    </w:p>
    <w:p w:rsidR="007A6460" w:rsidRDefault="007A6460" w:rsidP="007A6460">
      <w:pPr>
        <w:pStyle w:val="a4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Переходный период продлится до 2024 года. В это время будут изменяться сопутствующие законы.</w:t>
      </w:r>
    </w:p>
    <w:p w:rsidR="007A6460" w:rsidRDefault="007A6460" w:rsidP="007A6460">
      <w:pPr>
        <w:pStyle w:val="a4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3"/>
          <w:rFonts w:ascii="Helvetica" w:hAnsi="Helvetica" w:cs="Helvetica"/>
          <w:color w:val="666666"/>
          <w:sz w:val="21"/>
          <w:szCs w:val="21"/>
        </w:rPr>
        <w:t>Вместе с тем, уже с начала 2019 года все </w:t>
      </w:r>
      <w:hyperlink r:id="rId7" w:tgtFrame="_blank" w:tooltip="Садоводческие и огороднические некоммерческие товарищества (СНТ и ОНТ)" w:history="1">
        <w:r>
          <w:rPr>
            <w:rStyle w:val="a5"/>
            <w:rFonts w:ascii="Helvetica" w:hAnsi="Helvetica" w:cs="Helvetica"/>
            <w:b/>
            <w:bCs/>
            <w:color w:val="0088CC"/>
            <w:sz w:val="21"/>
            <w:szCs w:val="21"/>
          </w:rPr>
          <w:t>садоводческие и огороднические товарищества</w:t>
        </w:r>
      </w:hyperlink>
      <w:r>
        <w:rPr>
          <w:rStyle w:val="a3"/>
          <w:rFonts w:ascii="Helvetica" w:hAnsi="Helvetica" w:cs="Helvetica"/>
          <w:color w:val="666666"/>
          <w:sz w:val="21"/>
          <w:szCs w:val="21"/>
        </w:rPr>
        <w:t> (СНТ и ОНТ) обязаны:</w:t>
      </w:r>
    </w:p>
    <w:p w:rsidR="007A6460" w:rsidRDefault="007A6460" w:rsidP="007A64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lastRenderedPageBreak/>
        <w:t>пользоваться своими уставами только в той их части, которая не будет противоречить новым, меняющимся в течение 5 лет законодательным нормам. </w:t>
      </w:r>
    </w:p>
    <w:p w:rsidR="00E34398" w:rsidRDefault="00E34398"/>
    <w:sectPr w:rsidR="00E3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822"/>
    <w:multiLevelType w:val="multilevel"/>
    <w:tmpl w:val="4630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D0D9F"/>
    <w:multiLevelType w:val="multilevel"/>
    <w:tmpl w:val="613C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6"/>
    <w:rsid w:val="00493E26"/>
    <w:rsid w:val="00527A41"/>
    <w:rsid w:val="007A6460"/>
    <w:rsid w:val="0083353A"/>
    <w:rsid w:val="00B33DB4"/>
    <w:rsid w:val="00B36786"/>
    <w:rsid w:val="00E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B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D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DB4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B33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DB4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DB4"/>
    <w:rPr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3DB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B33DB4"/>
    <w:rPr>
      <w:b/>
      <w:bCs/>
    </w:rPr>
  </w:style>
  <w:style w:type="paragraph" w:styleId="a4">
    <w:name w:val="Normal (Web)"/>
    <w:basedOn w:val="a"/>
    <w:uiPriority w:val="99"/>
    <w:semiHidden/>
    <w:unhideWhenUsed/>
    <w:rsid w:val="007A646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A6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B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D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DB4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B33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DB4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DB4"/>
    <w:rPr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3DB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B33DB4"/>
    <w:rPr>
      <w:b/>
      <w:bCs/>
    </w:rPr>
  </w:style>
  <w:style w:type="paragraph" w:styleId="a4">
    <w:name w:val="Normal (Web)"/>
    <w:basedOn w:val="a"/>
    <w:uiPriority w:val="99"/>
    <w:semiHidden/>
    <w:unhideWhenUsed/>
    <w:rsid w:val="007A646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A6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iprava.info/semya-i-zhilishche/zemelnoe-pravo/pravo-na-zemelnyj-uchastok-dlya-sadovodstva-i-ogorodnichestva/766-sadovodcheskie-i-ogorodnicheskie-nekommercheskie-tovarishchestva-snt-i-o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prava.info/semya-i-zhilishche/zemelnoe-pravo/zemelnye-pravovye-otnosheniya/423-edinyj-gosudarstvennyj-reestr-nedvizhimosti-egr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Заборский</dc:creator>
  <cp:lastModifiedBy>Марина Петрова</cp:lastModifiedBy>
  <cp:revision>2</cp:revision>
  <dcterms:created xsi:type="dcterms:W3CDTF">2019-01-28T08:09:00Z</dcterms:created>
  <dcterms:modified xsi:type="dcterms:W3CDTF">2019-01-28T08:09:00Z</dcterms:modified>
</cp:coreProperties>
</file>